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2F33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  <w:bookmarkStart w:id="0" w:name="_Toc460230145"/>
    </w:p>
    <w:p w14:paraId="037A7FE9" w14:textId="0A1758AE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4B035CBE" w14:textId="7E17C17A" w:rsidR="003843FE" w:rsidRPr="003843FE" w:rsidRDefault="003843FE" w:rsidP="00832331">
      <w:pPr>
        <w:jc w:val="center"/>
        <w:rPr>
          <w:rFonts w:ascii="Gotham-Bold" w:hAnsi="Gotham-Bold" w:cs="Arial"/>
          <w:b/>
          <w:bCs/>
          <w:color w:val="800000"/>
          <w:sz w:val="28"/>
          <w:szCs w:val="28"/>
          <w:lang w:val="es-MX"/>
        </w:rPr>
      </w:pPr>
      <w:r w:rsidRPr="003843FE">
        <w:rPr>
          <w:rFonts w:ascii="Gotham-Bold" w:hAnsi="Gotham-Bold" w:cs="Arial"/>
          <w:b/>
          <w:bCs/>
          <w:color w:val="800000"/>
          <w:sz w:val="28"/>
          <w:szCs w:val="28"/>
          <w:lang w:val="es-MX"/>
        </w:rPr>
        <w:t>*Articulo 78</w:t>
      </w:r>
    </w:p>
    <w:p w14:paraId="5B09C468" w14:textId="77777777" w:rsidR="003843FE" w:rsidRPr="003843FE" w:rsidRDefault="003843FE" w:rsidP="003843FE">
      <w:pPr>
        <w:jc w:val="center"/>
        <w:rPr>
          <w:rFonts w:cs="Arial"/>
          <w:b/>
          <w:bCs/>
          <w:color w:val="385623" w:themeColor="accent6" w:themeShade="80"/>
          <w:sz w:val="28"/>
          <w:szCs w:val="28"/>
          <w:lang w:val="es-MX"/>
        </w:rPr>
      </w:pPr>
      <w:r w:rsidRPr="003843FE">
        <w:rPr>
          <w:rFonts w:ascii="Gotham-Bold" w:hAnsi="Gotham-Bold" w:cs="Arial"/>
          <w:b/>
          <w:bCs/>
          <w:color w:val="800000"/>
          <w:sz w:val="28"/>
          <w:szCs w:val="28"/>
          <w:lang w:val="es-MX"/>
        </w:rPr>
        <w:t>Formato de Servicios Públicos de agua potable, drenaje, alcantarillado, tratamiento y disposición de agua residuales.*</w:t>
      </w:r>
    </w:p>
    <w:p w14:paraId="4AEEECE8" w14:textId="77777777" w:rsidR="003843FE" w:rsidRPr="004F286A" w:rsidRDefault="003843FE" w:rsidP="008D1397">
      <w:pPr>
        <w:spacing w:line="276" w:lineRule="auto"/>
        <w:rPr>
          <w:rFonts w:cs="Arial"/>
          <w:b/>
          <w:szCs w:val="20"/>
        </w:rPr>
      </w:pPr>
    </w:p>
    <w:p w14:paraId="0D89D2F5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B6EB527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bookmarkEnd w:id="0"/>
    <w:p w14:paraId="54633C1D" w14:textId="77777777" w:rsidR="003843FE" w:rsidRPr="00832331" w:rsidRDefault="003843FE" w:rsidP="003843FE">
      <w:pPr>
        <w:spacing w:after="160" w:line="256" w:lineRule="auto"/>
        <w:jc w:val="left"/>
        <w:rPr>
          <w:rFonts w:eastAsia="Calibri" w:cs="Arial"/>
          <w:b/>
          <w:bCs/>
          <w:color w:val="0D0D0D" w:themeColor="text1" w:themeTint="F2"/>
          <w:sz w:val="26"/>
          <w:szCs w:val="26"/>
          <w:lang w:eastAsia="en-US"/>
        </w:rPr>
      </w:pPr>
      <w:r w:rsidRPr="00832331">
        <w:rPr>
          <w:rFonts w:eastAsia="Calibri" w:cs="Arial"/>
          <w:b/>
          <w:bCs/>
          <w:color w:val="0D0D0D" w:themeColor="text1" w:themeTint="F2"/>
          <w:sz w:val="26"/>
          <w:szCs w:val="26"/>
          <w:lang w:eastAsia="en-US"/>
        </w:rPr>
        <w:t>Agua Potable</w:t>
      </w:r>
    </w:p>
    <w:p w14:paraId="7E060EC8" w14:textId="77777777" w:rsidR="003843FE" w:rsidRPr="00832331" w:rsidRDefault="003843FE" w:rsidP="003843FE">
      <w:pPr>
        <w:spacing w:after="160" w:line="256" w:lineRule="auto"/>
        <w:jc w:val="left"/>
        <w:rPr>
          <w:rFonts w:eastAsia="Calibri" w:cs="Arial"/>
          <w:color w:val="0D0D0D" w:themeColor="text1" w:themeTint="F2"/>
          <w:sz w:val="26"/>
          <w:szCs w:val="26"/>
          <w:lang w:eastAsia="en-US"/>
        </w:rPr>
      </w:pPr>
      <w:r w:rsidRPr="00832331">
        <w:rPr>
          <w:rFonts w:eastAsia="Calibri" w:cs="Arial"/>
          <w:color w:val="0D0D0D" w:themeColor="text1" w:themeTint="F2"/>
          <w:sz w:val="26"/>
          <w:szCs w:val="26"/>
          <w:lang w:eastAsia="en-US"/>
        </w:rPr>
        <w:t>Captar, Potabilizar hasta nivel primario, secundario y terciario, así como la conducción y distribución a la ciudadanía.</w:t>
      </w:r>
    </w:p>
    <w:p w14:paraId="4971FE39" w14:textId="77777777" w:rsidR="003843FE" w:rsidRPr="00832331" w:rsidRDefault="003843FE" w:rsidP="003843FE">
      <w:pPr>
        <w:spacing w:after="160" w:line="256" w:lineRule="auto"/>
        <w:jc w:val="left"/>
        <w:rPr>
          <w:rFonts w:eastAsia="Calibri" w:cs="Arial"/>
          <w:b/>
          <w:bCs/>
          <w:color w:val="0D0D0D" w:themeColor="text1" w:themeTint="F2"/>
          <w:sz w:val="26"/>
          <w:szCs w:val="26"/>
          <w:lang w:eastAsia="en-US"/>
        </w:rPr>
      </w:pPr>
      <w:r w:rsidRPr="00832331">
        <w:rPr>
          <w:rFonts w:eastAsia="Calibri" w:cs="Arial"/>
          <w:b/>
          <w:bCs/>
          <w:color w:val="0D0D0D" w:themeColor="text1" w:themeTint="F2"/>
          <w:sz w:val="26"/>
          <w:szCs w:val="26"/>
          <w:lang w:eastAsia="en-US"/>
        </w:rPr>
        <w:t>Drenaje Sanitario y Pluvial.</w:t>
      </w:r>
    </w:p>
    <w:p w14:paraId="3532BC61" w14:textId="77777777" w:rsidR="003843FE" w:rsidRPr="00832331" w:rsidRDefault="003843FE" w:rsidP="003843FE">
      <w:pPr>
        <w:spacing w:after="160" w:line="256" w:lineRule="auto"/>
        <w:jc w:val="left"/>
        <w:rPr>
          <w:rFonts w:eastAsia="Calibri" w:cs="Arial"/>
          <w:color w:val="0D0D0D" w:themeColor="text1" w:themeTint="F2"/>
          <w:sz w:val="26"/>
          <w:szCs w:val="26"/>
          <w:lang w:eastAsia="en-US"/>
        </w:rPr>
      </w:pPr>
      <w:r w:rsidRPr="00832331">
        <w:rPr>
          <w:rFonts w:eastAsia="Calibri" w:cs="Arial"/>
          <w:color w:val="0D0D0D" w:themeColor="text1" w:themeTint="F2"/>
          <w:sz w:val="26"/>
          <w:szCs w:val="26"/>
          <w:lang w:eastAsia="en-US"/>
        </w:rPr>
        <w:t>Conducir las aguas sanitarias (comercial y domésticas) y pluvial a cárcamos de rebombeo.</w:t>
      </w:r>
    </w:p>
    <w:p w14:paraId="7671AFC0" w14:textId="77777777" w:rsidR="003843FE" w:rsidRPr="00832331" w:rsidRDefault="003843FE" w:rsidP="003843FE">
      <w:pPr>
        <w:spacing w:after="160" w:line="256" w:lineRule="auto"/>
        <w:jc w:val="left"/>
        <w:rPr>
          <w:rFonts w:eastAsia="Calibri" w:cs="Arial"/>
          <w:b/>
          <w:bCs/>
          <w:color w:val="0D0D0D" w:themeColor="text1" w:themeTint="F2"/>
          <w:sz w:val="26"/>
          <w:szCs w:val="26"/>
          <w:lang w:eastAsia="en-US"/>
        </w:rPr>
      </w:pPr>
      <w:r w:rsidRPr="00832331">
        <w:rPr>
          <w:rFonts w:eastAsia="Calibri" w:cs="Arial"/>
          <w:b/>
          <w:bCs/>
          <w:color w:val="0D0D0D" w:themeColor="text1" w:themeTint="F2"/>
          <w:sz w:val="26"/>
          <w:szCs w:val="26"/>
          <w:lang w:eastAsia="en-US"/>
        </w:rPr>
        <w:t>Saneamiento.</w:t>
      </w:r>
    </w:p>
    <w:p w14:paraId="63093A89" w14:textId="77777777" w:rsidR="003843FE" w:rsidRPr="00832331" w:rsidRDefault="003843FE" w:rsidP="003843FE">
      <w:pPr>
        <w:spacing w:after="160" w:line="256" w:lineRule="auto"/>
        <w:jc w:val="left"/>
        <w:rPr>
          <w:rFonts w:eastAsia="Calibri" w:cs="Arial"/>
          <w:color w:val="0D0D0D" w:themeColor="text1" w:themeTint="F2"/>
          <w:sz w:val="26"/>
          <w:szCs w:val="26"/>
          <w:lang w:eastAsia="en-US"/>
        </w:rPr>
      </w:pPr>
      <w:r w:rsidRPr="00832331">
        <w:rPr>
          <w:rFonts w:eastAsia="Calibri" w:cs="Arial"/>
          <w:color w:val="0D0D0D" w:themeColor="text1" w:themeTint="F2"/>
          <w:sz w:val="26"/>
          <w:szCs w:val="26"/>
          <w:lang w:eastAsia="en-US"/>
        </w:rPr>
        <w:t xml:space="preserve">Los tipos de tratamiento son los siguientes: </w:t>
      </w:r>
    </w:p>
    <w:p w14:paraId="27BE80AB" w14:textId="20D0B403" w:rsidR="003843FE" w:rsidRPr="00832331" w:rsidRDefault="003843FE" w:rsidP="003843FE">
      <w:pPr>
        <w:spacing w:after="160" w:line="256" w:lineRule="auto"/>
        <w:jc w:val="left"/>
        <w:rPr>
          <w:rFonts w:eastAsia="Calibri" w:cs="Arial"/>
          <w:color w:val="0D0D0D" w:themeColor="text1" w:themeTint="F2"/>
          <w:sz w:val="26"/>
          <w:szCs w:val="26"/>
          <w:lang w:eastAsia="en-US"/>
        </w:rPr>
      </w:pPr>
      <w:r w:rsidRPr="00832331">
        <w:rPr>
          <w:rFonts w:eastAsia="Calibri" w:cs="Arial"/>
          <w:color w:val="0D0D0D" w:themeColor="text1" w:themeTint="F2"/>
          <w:sz w:val="26"/>
          <w:szCs w:val="26"/>
          <w:lang w:eastAsia="en-US"/>
        </w:rPr>
        <w:t>Tanque Imhoff, Bioenzimático, Ciénega, Lodos activados convencional y de alta tasa, Laguna de oxidación, RHAFA, Pantano artificial, Humedal artificial, Digestores anaerobios y aerobios.</w:t>
      </w:r>
    </w:p>
    <w:p w14:paraId="4716472A" w14:textId="77777777" w:rsidR="003843FE" w:rsidRPr="00832331" w:rsidRDefault="003843FE" w:rsidP="003843FE">
      <w:pPr>
        <w:spacing w:after="160" w:line="256" w:lineRule="auto"/>
        <w:jc w:val="left"/>
        <w:rPr>
          <w:rFonts w:eastAsia="Calibri" w:cs="Arial"/>
          <w:color w:val="0D0D0D" w:themeColor="text1" w:themeTint="F2"/>
          <w:sz w:val="26"/>
          <w:szCs w:val="26"/>
          <w:lang w:eastAsia="en-US"/>
        </w:rPr>
      </w:pPr>
    </w:p>
    <w:p w14:paraId="525AF8B0" w14:textId="77777777" w:rsidR="003843FE" w:rsidRPr="00832331" w:rsidRDefault="003843FE" w:rsidP="003843FE">
      <w:pPr>
        <w:numPr>
          <w:ilvl w:val="0"/>
          <w:numId w:val="15"/>
        </w:numPr>
        <w:spacing w:after="160" w:line="256" w:lineRule="auto"/>
        <w:contextualSpacing/>
        <w:jc w:val="left"/>
        <w:rPr>
          <w:rFonts w:eastAsia="Calibri" w:cs="Arial"/>
          <w:b/>
          <w:bCs/>
          <w:color w:val="0D0D0D" w:themeColor="text1" w:themeTint="F2"/>
          <w:sz w:val="26"/>
          <w:szCs w:val="26"/>
          <w:lang w:eastAsia="en-US"/>
        </w:rPr>
      </w:pPr>
      <w:r w:rsidRPr="00832331">
        <w:rPr>
          <w:rFonts w:eastAsia="Calibri" w:cs="Arial"/>
          <w:color w:val="0D0D0D" w:themeColor="text1" w:themeTint="F2"/>
          <w:sz w:val="26"/>
          <w:szCs w:val="26"/>
          <w:lang w:eastAsia="en-US"/>
        </w:rPr>
        <w:t xml:space="preserve">La disposición final es a cuerpos de aguas nacionales. </w:t>
      </w:r>
      <w:r w:rsidRPr="00832331">
        <w:rPr>
          <w:rFonts w:eastAsia="Calibri" w:cs="Arial"/>
          <w:b/>
          <w:bCs/>
          <w:color w:val="0D0D0D" w:themeColor="text1" w:themeTint="F2"/>
          <w:sz w:val="26"/>
          <w:szCs w:val="26"/>
          <w:lang w:eastAsia="en-US"/>
        </w:rPr>
        <w:t>Art. 27 Constitucional.</w:t>
      </w:r>
    </w:p>
    <w:p w14:paraId="61288331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sectPr w:rsidR="008D1397" w:rsidRPr="004F286A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BF389" w14:textId="77777777" w:rsidR="00D32DB2" w:rsidRDefault="00D32DB2">
      <w:r>
        <w:separator/>
      </w:r>
    </w:p>
  </w:endnote>
  <w:endnote w:type="continuationSeparator" w:id="0">
    <w:p w14:paraId="6F9F7291" w14:textId="77777777" w:rsidR="00D32DB2" w:rsidRDefault="00D3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10FEE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51109" w14:textId="77777777" w:rsidR="00D32DB2" w:rsidRDefault="00D32DB2">
      <w:r>
        <w:separator/>
      </w:r>
    </w:p>
  </w:footnote>
  <w:footnote w:type="continuationSeparator" w:id="0">
    <w:p w14:paraId="3A058DCD" w14:textId="77777777" w:rsidR="00D32DB2" w:rsidRDefault="00D3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0D38" w14:textId="08150F70" w:rsidR="00937E2C" w:rsidRDefault="003843FE" w:rsidP="00ED086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9EF5EA8" wp14:editId="54242C9D">
          <wp:simplePos x="0" y="0"/>
          <wp:positionH relativeFrom="margin">
            <wp:posOffset>805815</wp:posOffset>
          </wp:positionH>
          <wp:positionV relativeFrom="margin">
            <wp:posOffset>-1082675</wp:posOffset>
          </wp:positionV>
          <wp:extent cx="1476375" cy="845820"/>
          <wp:effectExtent l="0" t="0" r="0" b="0"/>
          <wp:wrapSquare wrapText="bothSides"/>
          <wp:docPr id="1" name="Imagen 1" descr="SAS TABASCO™ logo vector - Download in CDR vector 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 TABASCO™ logo vector - Download in CDR vector 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ED5CCB">
          <wp:simplePos x="0" y="0"/>
          <wp:positionH relativeFrom="column">
            <wp:posOffset>-689610</wp:posOffset>
          </wp:positionH>
          <wp:positionV relativeFrom="paragraph">
            <wp:posOffset>-795020</wp:posOffset>
          </wp:positionV>
          <wp:extent cx="1314450" cy="1420848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314450" cy="1420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0C0AA98A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1BC6"/>
    <w:multiLevelType w:val="hybridMultilevel"/>
    <w:tmpl w:val="3DF66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2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4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>
      <o:colormru v:ext="edit" colors="maroon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5B75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FBB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43FE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0FEE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2331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486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450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2DB2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maroon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7EFD-E636-46AA-A96E-47AE80E3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Lic. Alberto-pc</cp:lastModifiedBy>
  <cp:revision>111</cp:revision>
  <cp:lastPrinted>2020-07-01T14:07:00Z</cp:lastPrinted>
  <dcterms:created xsi:type="dcterms:W3CDTF">2016-08-26T17:06:00Z</dcterms:created>
  <dcterms:modified xsi:type="dcterms:W3CDTF">2020-07-01T14:09:00Z</dcterms:modified>
</cp:coreProperties>
</file>